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w:body>
    <w:p>
      <w:pPr>
        <w:spacing w:before="480" w:after="480" w:line="288" w:lineRule="auto"/>
        <w:ind w:left="0"/>
      </w:pPr>
      <w:r>
        <w:t>01 Learning Path (README)</w:t>
      </w:r>
    </w:p>
    <w:tbl>
      <w:tblPr>
        <w:tblW w:w="0" w:type="auto"/>
        <w:tblInd w:w="0" w:type="dxa"/>
        <w:tblBorders>
          <w:top w:val="single" w:color="f98e8b"/>
          <w:left w:val="single" w:color="f98e8b"/>
          <w:bottom w:val="single" w:color="f98e8b"/>
          <w:right w:val="single" w:color="f98e8b"/>
          <w:insideH w:val="single" w:color="f98e8b"/>
          <w:insideV w:val="single" w:color="f98e8b"/>
        </w:tblBorders>
        <w:tblLayout w:type="fixed"/>
      </w:tblPr>
      <w:tblGrid>
        <w:gridCol w:w="8280"/>
      </w:tblGrid>
      <w:tr>
        <w:tc>
          <w:tcPr>
            <w:tcW w:w="8280" w:type="dxa"/>
            <w:shd w:color="auto" w:val="clear" w:fill="fde2e2"/>
            <w:tcMar>
              <w:top w:type="dxa" w:w="60"/>
              <w:left w:type="dxa" w:w="120"/>
              <w:bottom w:type="dxa" w:w="30"/>
              <w:right w:type="dxa" w:w="120"/>
            </w:tcMar>
          </w:tcPr>
          <w:p>
            <w:pPr>
              <w:spacing w:before="120" w:after="120" w:line="288" w:lineRule="auto"/>
              <w:ind w:left="0"/>
              <w:jc w:val="left"/>
            </w:pPr>
            <w:r>
              <w:rPr>
                <w:rFonts w:eastAsia="等线" w:ascii="Arial" w:cs="Arial" w:hAnsi="Arial"/>
                <w:sz w:val="22"/>
              </w:rPr>
              <w:t>Note that the SSD solid-state hard drive accompanying the product already contains Jetpack 6.2 operating systems and all the operating environments, software tools and illustrative codes involved in this development guide. You do not need to re-install the system or reconfigure the operating environment.</w:t>
            </w:r>
          </w:p>
        </w:tc>
      </w:tr>
    </w:tbl>
    <w:p/>
    <w:tbl>
      <w:tblPr>
        <w:tblW w:w="0" w:type="auto"/>
        <w:tblInd w:w="0" w:type="dxa"/>
        <w:tblBorders>
          <w:top w:val="single" w:color="f98e8b"/>
          <w:left w:val="single" w:color="f98e8b"/>
          <w:bottom w:val="single" w:color="f98e8b"/>
          <w:right w:val="single" w:color="f98e8b"/>
          <w:insideH w:val="single" w:color="f98e8b"/>
          <w:insideV w:val="single" w:color="f98e8b"/>
        </w:tblBorders>
        <w:tblLayout w:type="fixed"/>
      </w:tblPr>
      <w:tblGrid>
        <w:gridCol w:w="8280"/>
      </w:tblGrid>
      <w:tr>
        <w:tc>
          <w:tcPr>
            <w:tcW w:w="8280" w:type="dxa"/>
            <w:shd w:color="auto" w:val="clear" w:fill="fde2e2"/>
            <w:tcMar>
              <w:top w:type="dxa" w:w="60"/>
              <w:left w:type="dxa" w:w="120"/>
              <w:bottom w:type="dxa" w:w="30"/>
              <w:right w:type="dxa" w:w="120"/>
            </w:tcMar>
          </w:tcPr>
          <w:p>
            <w:pPr>
              <w:spacing w:before="120" w:after="120" w:line="288" w:lineRule="auto"/>
              <w:ind w:left="0"/>
              <w:jc w:val="left"/>
            </w:pPr>
            <w:r>
              <w:rPr>
                <w:rFonts w:eastAsia="等线" w:ascii="Arial" w:cs="Arial" w:hAnsi="Arial"/>
                <w:sz w:val="22"/>
              </w:rPr>
              <w:t>You need only run the case start-up order to see the effect, and the installation of the environment may damage the environment.</w:t>
            </w:r>
          </w:p>
        </w:tc>
      </w:tr>
    </w:tbl>
    <w:p>
      <w:pPr>
        <w:pStyle w:val="2"/>
        <w:spacing w:before="320" w:after="120" w:line="288" w:lineRule="auto"/>
        <w:ind w:left="0"/>
        <w:jc w:val="left"/>
        <w:outlineLvl w:val="1"/>
      </w:pPr>
      <w:bookmarkStart w:name="heading_0" w:id="0"/>
      <w:r>
        <w:rPr>
          <w:rFonts w:eastAsia="等线" w:ascii="Arial" w:cs="Arial" w:hAnsi="Arial"/>
          <w:b w:val="true"/>
          <w:sz w:val="32"/>
        </w:rPr>
        <w:t>Chapter Introduction</w:t>
      </w:r>
      <w:bookmarkEnd w:id="0"/>
    </w:p>
    <w:p>
      <w:pPr>
        <w:spacing w:before="120" w:after="120" w:line="288" w:lineRule="auto"/>
        <w:ind w:left="0"/>
        <w:jc w:val="left"/>
      </w:pPr>
      <w:r>
        <w:rPr>
          <w:rFonts w:eastAsia="等线" w:ascii="Arial" w:cs="Arial" w:hAnsi="Arial"/>
          <w:sz w:val="22"/>
        </w:rPr>
        <w:t>Read the curriculum according to your needs.</w:t>
      </w:r>
    </w:p>
    <w:p>
      <w:pPr>
        <w:pStyle w:val="3"/>
        <w:spacing w:before="300" w:after="120" w:line="288" w:lineRule="auto"/>
        <w:ind w:left="0"/>
        <w:jc w:val="left"/>
        <w:outlineLvl w:val="2"/>
      </w:pPr>
      <w:bookmarkStart w:name="heading_1" w:id="1"/>
      <w:r>
        <w:rPr>
          <w:rFonts w:eastAsia="等线" w:ascii="Arial" w:cs="Arial" w:hAnsi="Arial"/>
          <w:b w:val="true"/>
          <w:sz w:val="30"/>
        </w:rPr>
        <w:t>Chapter one, quick.</w:t>
      </w:r>
      <w:bookmarkEnd w:id="1"/>
    </w:p>
    <w:p>
      <w:pPr>
        <w:spacing w:before="120" w:after="120" w:line="288" w:lineRule="auto"/>
        <w:ind w:left="0"/>
        <w:jc w:val="left"/>
      </w:pPr>
      <w:r>
        <w:rPr>
          <w:rFonts w:eastAsia="等线" w:ascii="Arial" w:cs="Arial" w:hAnsi="Arial"/>
          <w:sz w:val="22"/>
        </w:rPr>
        <w:t>The main presentation will be on the initial board and information on the board.</w:t>
      </w:r>
    </w:p>
    <w:p>
      <w:pPr>
        <w:pStyle w:val="3"/>
        <w:spacing w:before="300" w:after="120" w:line="288" w:lineRule="auto"/>
        <w:ind w:left="0"/>
        <w:jc w:val="left"/>
        <w:outlineLvl w:val="2"/>
      </w:pPr>
      <w:bookmarkStart w:name="heading_2" w:id="2"/>
      <w:r>
        <w:rPr>
          <w:rFonts w:eastAsia="等线" w:ascii="Arial" w:cs="Arial" w:hAnsi="Arial"/>
          <w:b w:val="true"/>
          <w:sz w:val="30"/>
        </w:rPr>
        <w:t>Chapter II Main Board Basis</w:t>
      </w:r>
      <w:bookmarkEnd w:id="2"/>
    </w:p>
    <w:p>
      <w:pPr>
        <w:spacing w:before="120" w:after="120" w:line="288" w:lineRule="auto"/>
        <w:ind w:left="0"/>
        <w:jc w:val="left"/>
      </w:pPr>
      <w:r>
        <w:rPr>
          <w:rFonts w:eastAsia="等线" w:ascii="Arial" w:cs="Arial" w:hAnsi="Arial"/>
          <w:sz w:val="22"/>
        </w:rPr>
        <w:t>The main introduction is the burning of the main panel parameters and systems.</w:t>
      </w:r>
    </w:p>
    <w:p>
      <w:pPr>
        <w:pStyle w:val="3"/>
        <w:spacing w:before="300" w:after="120" w:line="288" w:lineRule="auto"/>
        <w:ind w:left="0"/>
        <w:jc w:val="left"/>
        <w:outlineLvl w:val="2"/>
      </w:pPr>
      <w:bookmarkStart w:name="heading_3" w:id="3"/>
      <w:r>
        <w:rPr>
          <w:rFonts w:eastAsia="等线" w:ascii="Arial" w:cs="Arial" w:hAnsi="Arial"/>
          <w:b w:val="true"/>
          <w:sz w:val="30"/>
        </w:rPr>
        <w:t>Chapter III Basic use</w:t>
      </w:r>
      <w:bookmarkEnd w:id="3"/>
    </w:p>
    <w:p>
      <w:pPr>
        <w:spacing w:before="120" w:after="120" w:line="288" w:lineRule="auto"/>
        <w:ind w:left="0"/>
        <w:jc w:val="left"/>
      </w:pPr>
      <w:r>
        <w:rPr>
          <w:rFonts w:eastAsia="等线" w:ascii="Arial" w:cs="Arial" w:hAnsi="Arial"/>
          <w:sz w:val="22"/>
        </w:rPr>
        <w:t>Mainly describing the basic operation of the Ubuntu 22.04 system and the installation and use of the mandatory system tools.</w:t>
      </w:r>
    </w:p>
    <w:p>
      <w:pPr>
        <w:pStyle w:val="3"/>
        <w:spacing w:before="300" w:after="120" w:line="288" w:lineRule="auto"/>
        <w:ind w:left="0"/>
        <w:jc w:val="left"/>
        <w:outlineLvl w:val="2"/>
      </w:pPr>
      <w:bookmarkStart w:name="heading_4" w:id="4"/>
      <w:r>
        <w:rPr>
          <w:rFonts w:eastAsia="等线" w:ascii="Arial" w:cs="Arial" w:hAnsi="Arial"/>
          <w:b w:val="true"/>
          <w:sz w:val="30"/>
        </w:rPr>
        <w:t>Chapter IV Use of basic accessories</w:t>
      </w:r>
      <w:bookmarkEnd w:id="4"/>
    </w:p>
    <w:p>
      <w:pPr>
        <w:spacing w:before="120" w:after="120" w:line="288" w:lineRule="auto"/>
        <w:ind w:left="0"/>
        <w:jc w:val="left"/>
      </w:pPr>
      <w:r>
        <w:rPr>
          <w:rFonts w:eastAsia="等线" w:ascii="Arial" w:cs="Arial" w:hAnsi="Arial"/>
          <w:sz w:val="22"/>
        </w:rPr>
        <w:t>The main introduction is to the basic accessories that are commonly used in Jetson equipment.</w:t>
      </w:r>
    </w:p>
    <w:p>
      <w:pPr>
        <w:pStyle w:val="3"/>
        <w:spacing w:before="300" w:after="120" w:line="288" w:lineRule="auto"/>
        <w:ind w:left="0"/>
        <w:jc w:val="left"/>
        <w:outlineLvl w:val="2"/>
      </w:pPr>
      <w:bookmarkStart w:name="heading_5" w:id="5"/>
      <w:r>
        <w:rPr>
          <w:rFonts w:eastAsia="等线" w:ascii="Arial" w:cs="Arial" w:hAnsi="Arial"/>
          <w:b w:val="true"/>
          <w:sz w:val="30"/>
        </w:rPr>
        <w:t>Chapter V GPIO control</w:t>
      </w:r>
      <w:bookmarkEnd w:id="5"/>
    </w:p>
    <w:p>
      <w:pPr>
        <w:spacing w:before="120" w:after="120" w:line="288" w:lineRule="auto"/>
        <w:ind w:left="0"/>
        <w:jc w:val="left"/>
      </w:pPr>
      <w:r>
        <w:rPr>
          <w:rFonts w:eastAsia="等线" w:ascii="Arial" w:cs="Arial" w:hAnsi="Arial"/>
          <w:sz w:val="22"/>
        </w:rPr>
        <w:t>The main features are GPS foot control, serial access and I2C communications on the Jetson Orin main board.</w:t>
      </w:r>
    </w:p>
    <w:p>
      <w:pPr>
        <w:pStyle w:val="3"/>
        <w:spacing w:before="300" w:after="120" w:line="288" w:lineRule="auto"/>
        <w:ind w:left="0"/>
        <w:jc w:val="left"/>
        <w:outlineLvl w:val="2"/>
      </w:pPr>
      <w:bookmarkStart w:name="heading_6" w:id="6"/>
      <w:r>
        <w:rPr>
          <w:rFonts w:eastAsia="等线" w:ascii="Arial" w:cs="Arial" w:hAnsi="Arial"/>
          <w:b w:val="true"/>
          <w:sz w:val="30"/>
        </w:rPr>
        <w:t>Chapter VI. Visual foundations</w:t>
      </w:r>
      <w:bookmarkEnd w:id="6"/>
    </w:p>
    <w:p>
      <w:pPr>
        <w:spacing w:before="120" w:after="120" w:line="288" w:lineRule="auto"/>
        <w:ind w:left="0"/>
        <w:jc w:val="left"/>
      </w:pPr>
      <w:r>
        <w:rPr>
          <w:rFonts w:eastAsia="等线" w:ascii="Arial" w:cs="Arial" w:hAnsi="Arial"/>
          <w:sz w:val="22"/>
        </w:rPr>
        <w:t>A simple example of the processing of images that is common to OpenCV and the provision of cameras is presented.</w:t>
      </w:r>
    </w:p>
    <w:p>
      <w:pPr>
        <w:pStyle w:val="3"/>
        <w:spacing w:before="300" w:after="120" w:line="288" w:lineRule="auto"/>
        <w:ind w:left="0"/>
        <w:jc w:val="left"/>
        <w:outlineLvl w:val="2"/>
      </w:pPr>
      <w:bookmarkStart w:name="heading_7" w:id="7"/>
      <w:r>
        <w:rPr>
          <w:rFonts w:eastAsia="等线" w:ascii="Arial" w:cs="Arial" w:hAnsi="Arial"/>
          <w:b w:val="true"/>
          <w:sz w:val="30"/>
        </w:rPr>
        <w:t>Chapter 7. Visual progress.</w:t>
      </w:r>
      <w:bookmarkEnd w:id="7"/>
    </w:p>
    <w:p>
      <w:pPr>
        <w:spacing w:before="120" w:after="120" w:line="288" w:lineRule="auto"/>
        <w:ind w:left="0"/>
        <w:jc w:val="left"/>
      </w:pPr>
      <w:r>
        <w:rPr>
          <w:rFonts w:eastAsia="等线" w:ascii="Arial" w:cs="Arial" w:hAnsi="Arial"/>
          <w:sz w:val="22"/>
        </w:rPr>
        <w:t>Examples of basic environments and visual progression required for visual play are presented.</w:t>
      </w:r>
    </w:p>
    <w:p>
      <w:pPr>
        <w:pStyle w:val="3"/>
        <w:spacing w:before="300" w:after="120" w:line="288" w:lineRule="auto"/>
        <w:ind w:left="0"/>
        <w:jc w:val="left"/>
        <w:outlineLvl w:val="2"/>
      </w:pPr>
      <w:bookmarkStart w:name="heading_8" w:id="8"/>
      <w:r>
        <w:rPr>
          <w:rFonts w:eastAsia="等线" w:ascii="Arial" w:cs="Arial" w:hAnsi="Arial"/>
          <w:b w:val="true"/>
          <w:sz w:val="30"/>
        </w:rPr>
        <w:t>Chapter VIII ROS1-Melodic</w:t>
      </w:r>
      <w:bookmarkEnd w:id="8"/>
    </w:p>
    <w:p>
      <w:pPr>
        <w:spacing w:before="120" w:after="120" w:line="288" w:lineRule="auto"/>
        <w:ind w:left="0"/>
        <w:jc w:val="left"/>
      </w:pPr>
      <w:r>
        <w:rPr>
          <w:rFonts w:eastAsia="等线" w:ascii="Arial" w:cs="Arial" w:hAnsi="Arial"/>
          <w:sz w:val="22"/>
        </w:rPr>
        <w:t>The main presentation was on basic knowledge and visual play law cases in ROS1.</w:t>
      </w:r>
    </w:p>
    <w:p>
      <w:pPr>
        <w:pStyle w:val="3"/>
        <w:spacing w:before="300" w:after="120" w:line="288" w:lineRule="auto"/>
        <w:ind w:left="0"/>
        <w:jc w:val="left"/>
        <w:outlineLvl w:val="2"/>
      </w:pPr>
      <w:bookmarkStart w:name="heading_9" w:id="9"/>
      <w:r>
        <w:rPr>
          <w:rFonts w:eastAsia="等线" w:ascii="Arial" w:cs="Arial" w:hAnsi="Arial"/>
          <w:b w:val="true"/>
          <w:sz w:val="30"/>
        </w:rPr>
        <w:t>Chapter IX ROS2-Humble</w:t>
      </w:r>
      <w:bookmarkEnd w:id="9"/>
    </w:p>
    <w:p>
      <w:pPr>
        <w:spacing w:before="120" w:after="120" w:line="288" w:lineRule="auto"/>
        <w:ind w:left="0"/>
        <w:jc w:val="left"/>
      </w:pPr>
      <w:r>
        <w:rPr>
          <w:rFonts w:eastAsia="等线" w:ascii="Arial" w:cs="Arial" w:hAnsi="Arial"/>
          <w:sz w:val="22"/>
        </w:rPr>
        <w:t>The main presentation was on the basic knowledge and visual play law case of ROS2.</w:t>
      </w:r>
    </w:p>
    <w:p>
      <w:pPr>
        <w:pStyle w:val="3"/>
        <w:spacing w:before="300" w:after="120" w:line="288" w:lineRule="auto"/>
        <w:ind w:left="0"/>
        <w:jc w:val="left"/>
        <w:outlineLvl w:val="2"/>
      </w:pPr>
      <w:bookmarkStart w:name="heading_10" w:id="10"/>
      <w:r>
        <w:rPr>
          <w:rFonts w:eastAsia="等线" w:ascii="Arial" w:cs="Arial" w:hAnsi="Arial"/>
          <w:b w:val="true"/>
          <w:sz w:val="30"/>
        </w:rPr>
        <w:t>Chapter X Nvidia Isaac ROS</w:t>
      </w:r>
      <w:bookmarkEnd w:id="10"/>
    </w:p>
    <w:p>
      <w:pPr>
        <w:spacing w:before="120" w:after="120" w:line="288" w:lineRule="auto"/>
        <w:ind w:left="0"/>
        <w:jc w:val="left"/>
      </w:pPr>
      <w:r>
        <w:rPr>
          <w:rFonts w:eastAsia="等线" w:ascii="Arial" w:cs="Arial" w:hAnsi="Arial"/>
          <w:sz w:val="22"/>
        </w:rPr>
        <w:t>Mainly Nvidia Isaac ROS and its use cases.</w:t>
      </w:r>
    </w:p>
    <w:p>
      <w:pPr>
        <w:pStyle w:val="3"/>
        <w:spacing w:before="300" w:after="120" w:line="288" w:lineRule="auto"/>
        <w:ind w:left="0"/>
        <w:jc w:val="left"/>
        <w:outlineLvl w:val="2"/>
      </w:pPr>
      <w:bookmarkStart w:name="heading_11" w:id="11"/>
      <w:r>
        <w:rPr>
          <w:rFonts w:eastAsia="等线" w:ascii="Arial" w:cs="Arial" w:hAnsi="Arial"/>
          <w:b w:val="true"/>
          <w:sz w:val="30"/>
        </w:rPr>
        <w:t>Chapter 11, advance of the robot.</w:t>
      </w:r>
      <w:bookmarkEnd w:id="11"/>
    </w:p>
    <w:p>
      <w:pPr>
        <w:spacing w:before="120" w:after="120" w:line="288" w:lineRule="auto"/>
        <w:ind w:left="0"/>
        <w:jc w:val="left"/>
      </w:pPr>
      <w:r>
        <w:rPr>
          <w:rFonts w:eastAsia="等线" w:ascii="Arial" w:cs="Arial" w:hAnsi="Arial"/>
          <w:sz w:val="22"/>
        </w:rPr>
        <w:t>This is mainly about the evolution of robotics.</w:t>
      </w:r>
    </w:p>
    <w:p>
      <w:pPr>
        <w:pStyle w:val="3"/>
        <w:spacing w:before="300" w:after="120" w:line="288" w:lineRule="auto"/>
        <w:ind w:left="0"/>
        <w:jc w:val="left"/>
        <w:outlineLvl w:val="2"/>
      </w:pPr>
      <w:bookmarkStart w:name="heading_12" w:id="12"/>
      <w:r>
        <w:rPr>
          <w:rFonts w:eastAsia="等线" w:ascii="Arial" w:cs="Arial" w:hAnsi="Arial"/>
          <w:b w:val="true"/>
          <w:sz w:val="30"/>
        </w:rPr>
        <w:t>Chapter XII Large offline model development</w:t>
      </w:r>
      <w:bookmarkEnd w:id="12"/>
    </w:p>
    <w:p>
      <w:pPr>
        <w:spacing w:before="120" w:after="120" w:line="288" w:lineRule="auto"/>
        <w:ind w:left="0"/>
        <w:jc w:val="left"/>
      </w:pPr>
      <w:r>
        <w:rPr>
          <w:rFonts w:eastAsia="等线" w:ascii="Arial" w:cs="Arial" w:hAnsi="Arial"/>
          <w:sz w:val="22"/>
        </w:rPr>
        <w:t>The main features are the offline development of the AI Large Model, which includes the Ollama, Open WebUI and popular text dialogue and image recognition megamodels.</w:t>
      </w:r>
    </w:p>
    <w:p>
      <w:pPr>
        <w:pStyle w:val="3"/>
        <w:spacing w:before="300" w:after="120" w:line="288" w:lineRule="auto"/>
        <w:ind w:left="0"/>
        <w:jc w:val="left"/>
        <w:outlineLvl w:val="2"/>
      </w:pPr>
      <w:bookmarkStart w:name="heading_13" w:id="13"/>
      <w:r>
        <w:rPr>
          <w:rFonts w:eastAsia="等线" w:ascii="Arial" w:cs="Arial" w:hAnsi="Arial"/>
          <w:b w:val="true"/>
          <w:sz w:val="30"/>
        </w:rPr>
        <w:t>Chapter XIII Large online model development</w:t>
      </w:r>
      <w:bookmarkEnd w:id="13"/>
    </w:p>
    <w:p>
      <w:pPr>
        <w:spacing w:before="120" w:after="120" w:line="288" w:lineRule="auto"/>
        <w:ind w:left="0"/>
        <w:jc w:val="left"/>
      </w:pPr>
      <w:r>
        <w:rPr>
          <w:rFonts w:eastAsia="等线" w:ascii="Arial" w:cs="Arial" w:hAnsi="Arial"/>
          <w:sz w:val="22"/>
        </w:rPr>
        <w:t>The main focus is on how to achieve a higher level of functionality by connecting Jetson to the Big Cloud Model.</w:t>
      </w:r>
    </w:p>
    <w:p>
      <w:pPr>
        <w:pStyle w:val="3"/>
        <w:spacing w:before="300" w:after="120" w:line="288" w:lineRule="auto"/>
        <w:ind w:left="0"/>
        <w:jc w:val="left"/>
        <w:outlineLvl w:val="2"/>
      </w:pPr>
      <w:bookmarkStart w:name="heading_14" w:id="14"/>
      <w:r>
        <w:rPr>
          <w:rFonts w:eastAsia="等线" w:ascii="Arial" w:cs="Arial" w:hAnsi="Arial"/>
          <w:b w:val="true"/>
          <w:sz w:val="30"/>
        </w:rPr>
        <w:t>Chapter XIV Use of advanced accessories</w:t>
      </w:r>
      <w:bookmarkEnd w:id="14"/>
    </w:p>
    <w:p>
      <w:pPr>
        <w:spacing w:before="120" w:after="120" w:line="288" w:lineRule="auto"/>
        <w:ind w:left="0"/>
        <w:jc w:val="left"/>
      </w:pPr>
      <w:r>
        <w:rPr>
          <w:rFonts w:eastAsia="等线" w:ascii="Arial" w:cs="Arial" w:hAnsi="Arial"/>
          <w:sz w:val="22"/>
        </w:rPr>
        <w:t>The main presentation is on the method of use of the parts that Jetson may be involved in in different systems.</w:t>
      </w:r>
    </w:p>
    <w:p>
      <w:pPr>
        <w:pStyle w:val="3"/>
        <w:spacing w:before="300" w:after="120" w:line="288" w:lineRule="auto"/>
        <w:ind w:left="0"/>
        <w:jc w:val="left"/>
        <w:outlineLvl w:val="2"/>
      </w:pPr>
      <w:bookmarkStart w:name="heading_15" w:id="15"/>
      <w:r>
        <w:rPr>
          <w:rFonts w:eastAsia="等线" w:ascii="Arial" w:cs="Arial" w:hAnsi="Arial"/>
          <w:b w:val="true"/>
          <w:sz w:val="30"/>
        </w:rPr>
        <w:t>Chapter XV Summary</w:t>
      </w:r>
      <w:bookmarkEnd w:id="15"/>
    </w:p>
    <w:p>
      <w:pPr>
        <w:spacing w:before="120" w:after="120" w:line="288" w:lineRule="auto"/>
        <w:ind w:left="0"/>
        <w:jc w:val="left"/>
      </w:pPr>
      <w:r>
        <w:rPr>
          <w:rFonts w:eastAsia="等线" w:ascii="Arial" w:cs="Arial" w:hAnsi="Arial"/>
          <w:sz w:val="22"/>
        </w:rPr>
        <w:t>Summarize the content of this development guide and describe the next course of learning development.</w:t>
      </w:r>
    </w:p>
    <w:sectPr>
      <w:footerReference w:type="default" r:id="rId3"/>
      <w:headerReference w:type="default" r:id="rId4"/>
      <w:pgSz w:orient="portrait" w:h="16840" w:w="11905"/>
    </w:sectPr>
  </w:body>
</w: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2026-03-31T02:48:44Z</dcterms:created>
  <dc:creator>Apache POI</dc:creator>
</cp:coreProperties>
</file>